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68795" w14:textId="77777777" w:rsidR="00437F2F" w:rsidRPr="00437F2F" w:rsidRDefault="00437F2F" w:rsidP="00437F2F">
      <w:pPr>
        <w:spacing w:after="240" w:line="240" w:lineRule="auto"/>
        <w:jc w:val="center"/>
        <w:rPr>
          <w:rFonts w:ascii="Arial" w:eastAsia="Times New Roman" w:hAnsi="Arial" w:cs="Arial"/>
          <w:sz w:val="20"/>
          <w:szCs w:val="20"/>
          <w:u w:val="single"/>
        </w:rPr>
      </w:pPr>
      <w:r w:rsidRPr="00437F2F">
        <w:rPr>
          <w:rFonts w:ascii="Arial" w:eastAsia="Times New Roman" w:hAnsi="Arial" w:cs="Arial"/>
          <w:sz w:val="20"/>
          <w:szCs w:val="20"/>
          <w:u w:val="single"/>
        </w:rPr>
        <w:t>LEGAL NOTICE OF ESTOPPEL</w:t>
      </w:r>
    </w:p>
    <w:p w14:paraId="18DC3466" w14:textId="2FCBFE8F" w:rsidR="00437F2F" w:rsidRPr="00437F2F" w:rsidRDefault="00437F2F" w:rsidP="00437F2F">
      <w:pPr>
        <w:widowControl w:val="0"/>
        <w:spacing w:after="240" w:line="240" w:lineRule="auto"/>
        <w:ind w:firstLine="720"/>
        <w:jc w:val="both"/>
        <w:rPr>
          <w:rFonts w:ascii="Arial" w:eastAsia="Times New Roman" w:hAnsi="Arial" w:cs="Arial"/>
          <w:sz w:val="20"/>
          <w:szCs w:val="20"/>
        </w:rPr>
      </w:pPr>
      <w:r w:rsidRPr="00437F2F">
        <w:rPr>
          <w:rFonts w:ascii="Arial" w:eastAsia="Times New Roman" w:hAnsi="Arial" w:cs="Arial"/>
          <w:sz w:val="20"/>
          <w:szCs w:val="20"/>
        </w:rPr>
        <w:t xml:space="preserve">The bond resolution, a summary of which is published herewith, has been adopted on July </w:t>
      </w:r>
      <w:r>
        <w:rPr>
          <w:rFonts w:ascii="Arial" w:eastAsia="Times New Roman" w:hAnsi="Arial" w:cs="Arial"/>
          <w:sz w:val="20"/>
          <w:szCs w:val="20"/>
        </w:rPr>
        <w:t>23</w:t>
      </w:r>
      <w:r w:rsidRPr="00437F2F">
        <w:rPr>
          <w:rFonts w:ascii="Arial" w:eastAsia="Times New Roman" w:hAnsi="Arial" w:cs="Arial"/>
          <w:sz w:val="20"/>
          <w:szCs w:val="20"/>
        </w:rPr>
        <w:t>, 2026, and the validity of the obligations authorized by such resolution may be hereafter contested only if such obligations were authorized for an object or purpose for which the Town of Moriah, Essex County, New York, is not authorized to expend money, or if the provisions of law which should have been complied with as of the date of publication of this notice were not substantially complied with, and an action, suit or proceeding contesting such validity is commenced within twenty days after the date of publication of this notice, or such obligations were authorized in violation of the provisions of the Constitution.</w:t>
      </w:r>
    </w:p>
    <w:p w14:paraId="52D2FBA7" w14:textId="77777777" w:rsidR="00437F2F" w:rsidRPr="00437F2F" w:rsidRDefault="00437F2F" w:rsidP="00437F2F">
      <w:pPr>
        <w:widowControl w:val="0"/>
        <w:spacing w:after="240" w:line="240" w:lineRule="auto"/>
        <w:ind w:firstLine="720"/>
        <w:jc w:val="both"/>
        <w:rPr>
          <w:rFonts w:ascii="Arial" w:eastAsia="Times New Roman" w:hAnsi="Arial" w:cs="Arial"/>
          <w:sz w:val="20"/>
          <w:szCs w:val="20"/>
        </w:rPr>
      </w:pPr>
      <w:r w:rsidRPr="00437F2F">
        <w:rPr>
          <w:rFonts w:ascii="Arial" w:eastAsia="Times New Roman" w:hAnsi="Arial" w:cs="Arial"/>
          <w:sz w:val="20"/>
          <w:szCs w:val="20"/>
        </w:rPr>
        <w:t>A complete copy of the resolution summarized herewith is available for public inspection during regular business hours at the Office of the Town Clerk for a period of twenty days from the date of publication of this Notice.</w:t>
      </w:r>
    </w:p>
    <w:p w14:paraId="030D2444" w14:textId="77777777" w:rsidR="00437F2F" w:rsidRPr="00437F2F" w:rsidRDefault="00437F2F" w:rsidP="00437F2F">
      <w:pPr>
        <w:spacing w:after="120" w:line="240" w:lineRule="auto"/>
        <w:jc w:val="both"/>
        <w:rPr>
          <w:rFonts w:ascii="Arial" w:eastAsia="Times New Roman" w:hAnsi="Arial" w:cs="Arial"/>
          <w:sz w:val="20"/>
          <w:szCs w:val="20"/>
        </w:rPr>
      </w:pPr>
      <w:r w:rsidRPr="00437F2F">
        <w:rPr>
          <w:rFonts w:ascii="Arial" w:eastAsia="Times New Roman" w:hAnsi="Arial" w:cs="Arial"/>
          <w:sz w:val="20"/>
          <w:szCs w:val="20"/>
        </w:rPr>
        <w:t>Dated:</w:t>
      </w:r>
      <w:r w:rsidRPr="00437F2F">
        <w:rPr>
          <w:rFonts w:ascii="Arial" w:eastAsia="Times New Roman" w:hAnsi="Arial" w:cs="Arial"/>
          <w:sz w:val="20"/>
          <w:szCs w:val="20"/>
        </w:rPr>
        <w:tab/>
        <w:t>Port Henry, New York,</w:t>
      </w:r>
    </w:p>
    <w:p w14:paraId="2A34FC14" w14:textId="17A4054B" w:rsidR="00437F2F" w:rsidRPr="00437F2F" w:rsidRDefault="00437F2F" w:rsidP="00437F2F">
      <w:pPr>
        <w:spacing w:after="480" w:line="240" w:lineRule="auto"/>
        <w:jc w:val="both"/>
        <w:rPr>
          <w:rFonts w:ascii="Arial" w:eastAsia="Times New Roman" w:hAnsi="Arial" w:cs="Arial"/>
          <w:sz w:val="20"/>
          <w:szCs w:val="20"/>
        </w:rPr>
      </w:pPr>
      <w:r w:rsidRPr="00437F2F">
        <w:rPr>
          <w:rFonts w:ascii="Arial" w:eastAsia="Times New Roman" w:hAnsi="Arial" w:cs="Arial"/>
          <w:sz w:val="20"/>
          <w:szCs w:val="20"/>
        </w:rPr>
        <w:tab/>
        <w:t xml:space="preserve">July </w:t>
      </w:r>
      <w:r>
        <w:rPr>
          <w:rFonts w:ascii="Arial" w:eastAsia="Times New Roman" w:hAnsi="Arial" w:cs="Arial"/>
          <w:sz w:val="20"/>
          <w:szCs w:val="20"/>
        </w:rPr>
        <w:t>23</w:t>
      </w:r>
      <w:r w:rsidRPr="00437F2F">
        <w:rPr>
          <w:rFonts w:ascii="Arial" w:eastAsia="Times New Roman" w:hAnsi="Arial" w:cs="Arial"/>
          <w:sz w:val="20"/>
          <w:szCs w:val="20"/>
        </w:rPr>
        <w:t>, 2026.</w:t>
      </w:r>
    </w:p>
    <w:p w14:paraId="4DB747A9" w14:textId="77777777" w:rsidR="00437F2F" w:rsidRPr="00437F2F" w:rsidRDefault="00437F2F" w:rsidP="00437F2F">
      <w:pPr>
        <w:spacing w:after="0" w:line="240" w:lineRule="auto"/>
        <w:jc w:val="right"/>
        <w:rPr>
          <w:rFonts w:ascii="Arial" w:eastAsia="Times New Roman" w:hAnsi="Arial" w:cs="Arial"/>
          <w:sz w:val="20"/>
          <w:szCs w:val="20"/>
        </w:rPr>
      </w:pPr>
      <w:r w:rsidRPr="00437F2F">
        <w:rPr>
          <w:rFonts w:ascii="Arial" w:eastAsia="Times New Roman" w:hAnsi="Arial" w:cs="Arial"/>
          <w:sz w:val="20"/>
          <w:szCs w:val="20"/>
        </w:rPr>
        <w:t>/s/ Rose M. French</w:t>
      </w:r>
    </w:p>
    <w:p w14:paraId="0B44F850" w14:textId="77777777" w:rsidR="00437F2F" w:rsidRPr="00437F2F" w:rsidRDefault="00437F2F" w:rsidP="00437F2F">
      <w:pPr>
        <w:spacing w:after="240" w:line="240" w:lineRule="auto"/>
        <w:jc w:val="right"/>
        <w:rPr>
          <w:rFonts w:ascii="Arial" w:eastAsia="Times New Roman" w:hAnsi="Arial" w:cs="Arial"/>
          <w:sz w:val="20"/>
          <w:szCs w:val="20"/>
        </w:rPr>
      </w:pPr>
      <w:r w:rsidRPr="00437F2F">
        <w:rPr>
          <w:rFonts w:ascii="Arial" w:eastAsia="Times New Roman" w:hAnsi="Arial" w:cs="Arial"/>
          <w:sz w:val="20"/>
          <w:szCs w:val="20"/>
        </w:rPr>
        <w:t>Town Clerk</w:t>
      </w:r>
    </w:p>
    <w:p w14:paraId="6FF6C756" w14:textId="6E2F3DDF" w:rsidR="00437F2F" w:rsidRPr="00437F2F" w:rsidRDefault="00437F2F" w:rsidP="00437F2F">
      <w:pPr>
        <w:widowControl w:val="0"/>
        <w:spacing w:after="240" w:line="240" w:lineRule="auto"/>
        <w:ind w:left="720" w:right="720"/>
        <w:jc w:val="both"/>
        <w:rPr>
          <w:rFonts w:ascii="Arial" w:eastAsia="Times New Roman" w:hAnsi="Arial" w:cs="Arial"/>
          <w:caps/>
          <w:sz w:val="20"/>
          <w:szCs w:val="20"/>
        </w:rPr>
      </w:pPr>
      <w:r w:rsidRPr="00437F2F">
        <w:rPr>
          <w:rFonts w:ascii="Arial" w:eastAsia="Times New Roman" w:hAnsi="Arial" w:cs="Arial"/>
          <w:caps/>
          <w:sz w:val="20"/>
          <w:szCs w:val="20"/>
        </w:rPr>
        <w:t xml:space="preserve">BOND RESOLUTION DATED July </w:t>
      </w:r>
      <w:r>
        <w:rPr>
          <w:rFonts w:ascii="Arial" w:eastAsia="Times New Roman" w:hAnsi="Arial" w:cs="Arial"/>
          <w:caps/>
          <w:sz w:val="20"/>
          <w:szCs w:val="20"/>
        </w:rPr>
        <w:t>23</w:t>
      </w:r>
      <w:r w:rsidRPr="00437F2F">
        <w:rPr>
          <w:rFonts w:ascii="Arial" w:eastAsia="Times New Roman" w:hAnsi="Arial" w:cs="Arial"/>
          <w:caps/>
          <w:sz w:val="20"/>
          <w:szCs w:val="20"/>
        </w:rPr>
        <w:t>, 2026.</w:t>
      </w:r>
    </w:p>
    <w:p w14:paraId="694A29DF" w14:textId="77777777" w:rsidR="00437F2F" w:rsidRPr="00437F2F" w:rsidRDefault="00437F2F" w:rsidP="00437F2F">
      <w:pPr>
        <w:widowControl w:val="0"/>
        <w:spacing w:after="480" w:line="240" w:lineRule="auto"/>
        <w:ind w:left="720" w:right="720"/>
        <w:jc w:val="both"/>
        <w:rPr>
          <w:rFonts w:ascii="Arial" w:eastAsia="Times New Roman" w:hAnsi="Arial" w:cs="Arial"/>
          <w:caps/>
          <w:sz w:val="20"/>
          <w:szCs w:val="20"/>
        </w:rPr>
      </w:pPr>
      <w:r w:rsidRPr="00437F2F">
        <w:rPr>
          <w:rFonts w:ascii="Arial" w:eastAsia="Times New Roman" w:hAnsi="Arial" w:cs="Arial"/>
          <w:caps/>
          <w:sz w:val="20"/>
          <w:szCs w:val="20"/>
        </w:rPr>
        <w:t>A RESOLUTION AUTHORIZING ROAD CULVERT AND RECONSTRUCTION IN THE TOWN OF MORIAH, IN AND FOR THE TOWN OF MORIAH, ESSEX COUNTY, NEW YORK, AT A MAXIMUM ESTIMATED COST OF $900,000 AND AUTHORIZING $900,000 SERIAL BONDS OF SAID TOWN TO PAY THE COST THEREOF.</w:t>
      </w:r>
    </w:p>
    <w:p w14:paraId="5D354520" w14:textId="77777777" w:rsidR="00437F2F" w:rsidRPr="00437F2F" w:rsidRDefault="00437F2F" w:rsidP="00437F2F">
      <w:pPr>
        <w:spacing w:after="240" w:line="240" w:lineRule="auto"/>
        <w:ind w:left="5040" w:hanging="5040"/>
        <w:rPr>
          <w:rFonts w:ascii="Arial" w:eastAsia="Times New Roman" w:hAnsi="Arial" w:cs="Arial"/>
          <w:sz w:val="20"/>
          <w:szCs w:val="20"/>
        </w:rPr>
      </w:pPr>
      <w:r w:rsidRPr="00437F2F">
        <w:rPr>
          <w:rFonts w:ascii="Arial" w:eastAsia="Times New Roman" w:hAnsi="Arial" w:cs="Arial"/>
          <w:b/>
          <w:sz w:val="20"/>
          <w:szCs w:val="20"/>
        </w:rPr>
        <w:t>Class of objects or purposes:</w:t>
      </w:r>
      <w:r w:rsidRPr="00437F2F">
        <w:rPr>
          <w:rFonts w:ascii="Arial" w:eastAsia="Times New Roman" w:hAnsi="Arial" w:cs="Arial"/>
          <w:sz w:val="20"/>
          <w:szCs w:val="20"/>
        </w:rPr>
        <w:tab/>
        <w:t>Road culvert and reconstruction, including incidental improvements and expenses</w:t>
      </w:r>
    </w:p>
    <w:p w14:paraId="5FA9B2CA" w14:textId="77777777" w:rsidR="00437F2F" w:rsidRPr="00437F2F" w:rsidRDefault="00437F2F" w:rsidP="00437F2F">
      <w:pPr>
        <w:spacing w:after="240" w:line="240" w:lineRule="auto"/>
        <w:ind w:left="5040" w:hanging="5040"/>
        <w:jc w:val="both"/>
        <w:rPr>
          <w:rFonts w:ascii="Arial" w:eastAsia="Times New Roman" w:hAnsi="Arial" w:cs="Arial"/>
          <w:b/>
          <w:bCs/>
          <w:sz w:val="20"/>
          <w:szCs w:val="20"/>
        </w:rPr>
      </w:pPr>
      <w:r w:rsidRPr="00437F2F">
        <w:rPr>
          <w:rFonts w:ascii="Arial" w:eastAsia="Times New Roman" w:hAnsi="Arial" w:cs="Arial"/>
          <w:b/>
          <w:sz w:val="20"/>
          <w:szCs w:val="20"/>
        </w:rPr>
        <w:t>Period of probable usefulness:</w:t>
      </w:r>
      <w:r w:rsidRPr="00437F2F">
        <w:rPr>
          <w:rFonts w:ascii="Arial" w:eastAsia="Times New Roman" w:hAnsi="Arial" w:cs="Arial"/>
          <w:sz w:val="20"/>
          <w:szCs w:val="20"/>
        </w:rPr>
        <w:tab/>
        <w:t>15 years, limited to 5 years</w:t>
      </w:r>
    </w:p>
    <w:p w14:paraId="0C3CEB3E" w14:textId="77777777" w:rsidR="00437F2F" w:rsidRPr="00437F2F" w:rsidRDefault="00437F2F" w:rsidP="00437F2F">
      <w:pPr>
        <w:spacing w:after="240" w:line="240" w:lineRule="auto"/>
        <w:ind w:left="5040" w:hanging="5040"/>
        <w:jc w:val="both"/>
        <w:rPr>
          <w:rFonts w:ascii="Arial" w:eastAsia="Times New Roman" w:hAnsi="Arial" w:cs="Arial"/>
          <w:sz w:val="20"/>
          <w:szCs w:val="20"/>
        </w:rPr>
      </w:pPr>
      <w:r w:rsidRPr="00437F2F">
        <w:rPr>
          <w:rFonts w:ascii="Arial" w:eastAsia="Times New Roman" w:hAnsi="Arial" w:cs="Arial"/>
          <w:b/>
          <w:sz w:val="20"/>
          <w:szCs w:val="20"/>
        </w:rPr>
        <w:t>Maximum estimated cost:</w:t>
      </w:r>
      <w:r w:rsidRPr="00437F2F">
        <w:rPr>
          <w:rFonts w:ascii="Arial" w:eastAsia="Times New Roman" w:hAnsi="Arial" w:cs="Arial"/>
          <w:sz w:val="20"/>
          <w:szCs w:val="20"/>
        </w:rPr>
        <w:tab/>
        <w:t>$900,000</w:t>
      </w:r>
    </w:p>
    <w:p w14:paraId="181966AB" w14:textId="77777777" w:rsidR="00437F2F" w:rsidRPr="00437F2F" w:rsidRDefault="00437F2F" w:rsidP="00437F2F">
      <w:pPr>
        <w:spacing w:after="240" w:line="240" w:lineRule="auto"/>
        <w:ind w:left="5040" w:hanging="5040"/>
        <w:jc w:val="both"/>
        <w:rPr>
          <w:rFonts w:ascii="Arial" w:eastAsia="Times New Roman" w:hAnsi="Arial" w:cs="Arial"/>
          <w:sz w:val="20"/>
          <w:szCs w:val="20"/>
        </w:rPr>
      </w:pPr>
      <w:proofErr w:type="gramStart"/>
      <w:r w:rsidRPr="00437F2F">
        <w:rPr>
          <w:rFonts w:ascii="Arial" w:eastAsia="Times New Roman" w:hAnsi="Arial" w:cs="Arial"/>
          <w:b/>
          <w:sz w:val="20"/>
          <w:szCs w:val="20"/>
        </w:rPr>
        <w:t>Amount</w:t>
      </w:r>
      <w:proofErr w:type="gramEnd"/>
      <w:r w:rsidRPr="00437F2F">
        <w:rPr>
          <w:rFonts w:ascii="Arial" w:eastAsia="Times New Roman" w:hAnsi="Arial" w:cs="Arial"/>
          <w:b/>
          <w:sz w:val="20"/>
          <w:szCs w:val="20"/>
        </w:rPr>
        <w:t xml:space="preserve"> of obligations to be issued:</w:t>
      </w:r>
      <w:r w:rsidRPr="00437F2F">
        <w:rPr>
          <w:rFonts w:ascii="Arial" w:eastAsia="Times New Roman" w:hAnsi="Arial" w:cs="Arial"/>
          <w:sz w:val="20"/>
          <w:szCs w:val="20"/>
        </w:rPr>
        <w:tab/>
        <w:t>$900,000 serial bonds</w:t>
      </w:r>
    </w:p>
    <w:p w14:paraId="218469FE" w14:textId="77777777" w:rsidR="00437F2F" w:rsidRPr="00437F2F" w:rsidRDefault="00437F2F" w:rsidP="00437F2F">
      <w:pPr>
        <w:spacing w:after="240" w:line="240" w:lineRule="auto"/>
        <w:ind w:left="5040" w:hanging="5040"/>
        <w:jc w:val="both"/>
        <w:rPr>
          <w:rFonts w:ascii="Arial" w:eastAsia="Times New Roman" w:hAnsi="Arial" w:cs="Arial"/>
          <w:b/>
          <w:bCs/>
          <w:vanish/>
          <w:color w:val="FF0000"/>
          <w:sz w:val="20"/>
          <w:szCs w:val="20"/>
        </w:rPr>
      </w:pPr>
    </w:p>
    <w:p w14:paraId="6FE2EDC4" w14:textId="77777777" w:rsidR="00437F2F" w:rsidRPr="00437F2F" w:rsidRDefault="00437F2F" w:rsidP="00437F2F">
      <w:pPr>
        <w:spacing w:after="240" w:line="240" w:lineRule="auto"/>
        <w:ind w:left="5040" w:hanging="5040"/>
        <w:jc w:val="both"/>
        <w:rPr>
          <w:rFonts w:ascii="Arial" w:eastAsia="Times New Roman" w:hAnsi="Arial" w:cs="Arial"/>
          <w:sz w:val="20"/>
          <w:szCs w:val="20"/>
        </w:rPr>
      </w:pPr>
      <w:r w:rsidRPr="00437F2F">
        <w:rPr>
          <w:rFonts w:ascii="Arial" w:eastAsia="Times New Roman" w:hAnsi="Arial" w:cs="Arial"/>
          <w:b/>
          <w:sz w:val="20"/>
          <w:szCs w:val="20"/>
        </w:rPr>
        <w:t>SEQRA:</w:t>
      </w:r>
      <w:r w:rsidRPr="00437F2F">
        <w:rPr>
          <w:rFonts w:ascii="Arial" w:eastAsia="Times New Roman" w:hAnsi="Arial" w:cs="Arial"/>
          <w:b/>
          <w:sz w:val="20"/>
          <w:szCs w:val="20"/>
        </w:rPr>
        <w:tab/>
      </w:r>
      <w:r w:rsidRPr="00437F2F">
        <w:rPr>
          <w:rFonts w:ascii="Arial" w:eastAsia="Times New Roman" w:hAnsi="Arial" w:cs="Arial"/>
          <w:sz w:val="20"/>
          <w:szCs w:val="20"/>
        </w:rPr>
        <w:t>Type II Action. SEQRA materials can be inspected at the office of the Town Clerk during regular business hours, upon appointment.</w:t>
      </w:r>
    </w:p>
    <w:p w14:paraId="6FC876C1" w14:textId="77777777" w:rsidR="00437F2F" w:rsidRPr="00437F2F" w:rsidRDefault="00437F2F" w:rsidP="00437F2F">
      <w:pPr>
        <w:spacing w:after="240" w:line="240" w:lineRule="auto"/>
        <w:ind w:left="5040" w:hanging="5040"/>
        <w:jc w:val="both"/>
        <w:rPr>
          <w:rFonts w:ascii="Arial" w:eastAsia="Times New Roman" w:hAnsi="Arial" w:cs="Arial"/>
          <w:sz w:val="20"/>
          <w:szCs w:val="20"/>
        </w:rPr>
      </w:pPr>
      <w:proofErr w:type="spellStart"/>
      <w:r w:rsidRPr="00437F2F">
        <w:rPr>
          <w:rFonts w:ascii="Arial" w:eastAsia="Times New Roman" w:hAnsi="Arial" w:cs="Arial"/>
          <w:sz w:val="20"/>
          <w:szCs w:val="20"/>
        </w:rPr>
        <w:t>Repealer</w:t>
      </w:r>
      <w:proofErr w:type="spellEnd"/>
      <w:r w:rsidRPr="00437F2F">
        <w:rPr>
          <w:rFonts w:ascii="Arial" w:eastAsia="Times New Roman" w:hAnsi="Arial" w:cs="Arial"/>
          <w:sz w:val="20"/>
          <w:szCs w:val="20"/>
        </w:rPr>
        <w:t>:  This bond resolution repeals that of July 9, 2026.</w:t>
      </w:r>
    </w:p>
    <w:p w14:paraId="7880C25F" w14:textId="77777777" w:rsidR="00437F2F" w:rsidRPr="00437F2F" w:rsidRDefault="00437F2F" w:rsidP="00437F2F">
      <w:pPr>
        <w:spacing w:after="240" w:line="240" w:lineRule="auto"/>
        <w:ind w:left="5040" w:hanging="5040"/>
        <w:jc w:val="both"/>
        <w:rPr>
          <w:rFonts w:ascii="Arial" w:eastAsia="Times New Roman" w:hAnsi="Arial" w:cs="Arial"/>
          <w:sz w:val="20"/>
          <w:szCs w:val="20"/>
        </w:rPr>
      </w:pPr>
    </w:p>
    <w:p w14:paraId="36753E64" w14:textId="25657A97" w:rsidR="00BD0DA7" w:rsidRDefault="00BD0DA7"/>
    <w:p w14:paraId="411CBFF5" w14:textId="77777777" w:rsidR="00437F2F" w:rsidRDefault="00437F2F"/>
    <w:sectPr w:rsidR="00437F2F">
      <w:headerReference w:type="default" r:id="rId4"/>
      <w:footerReference w:type="default" r:id="rId5"/>
      <w:headerReference w:type="first" r:id="rId6"/>
      <w:footerReference w:type="first" r:id="rId7"/>
      <w:endnotePr>
        <w:numFmt w:val="decimal"/>
      </w:endnotePr>
      <w:pgSz w:w="12240" w:h="15840" w:code="1"/>
      <w:pgMar w:top="1152" w:right="1440" w:bottom="720" w:left="1440" w:header="1152" w:footer="0" w:gutter="0"/>
      <w:paperSrc w:first="2" w:other="2"/>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C3A7" w14:textId="2E01E99A" w:rsidR="00E14438" w:rsidRDefault="00437F2F" w:rsidP="004B76C3">
    <w:pPr>
      <w:pStyle w:val="Footer"/>
    </w:pPr>
    <w:r>
      <w:rPr>
        <w:noProof/>
      </w:rPr>
      <mc:AlternateContent>
        <mc:Choice Requires="wps">
          <w:drawing>
            <wp:anchor distT="0" distB="0" distL="114300" distR="114300" simplePos="0" relativeHeight="251659264" behindDoc="0" locked="0" layoutInCell="1" allowOverlap="1" wp14:anchorId="7EADA4E1" wp14:editId="315F3F08">
              <wp:simplePos x="0" y="0"/>
              <wp:positionH relativeFrom="margin">
                <wp:posOffset>0</wp:posOffset>
              </wp:positionH>
              <wp:positionV relativeFrom="paragraph">
                <wp:posOffset>0</wp:posOffset>
              </wp:positionV>
              <wp:extent cx="2560320" cy="254000"/>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38B86" w14:textId="77777777" w:rsidR="00E14438" w:rsidRDefault="00437F2F" w:rsidP="004B76C3">
                          <w:pPr/>
                          <w:r>
                            <w:t>4133-8087-3066</w:t>
                          </w:r>
                        </w:p>
                        <w:p w14:paraId="107C7EAE" w14:textId="77777777" w:rsidR="00E14438" w:rsidRDefault="00437F2F" w:rsidP="004B76C3">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ADA4E1" id="_x0000_t202" coordsize="21600,21600" o:spt="202" path="m,l,21600r21600,l21600,xe">
              <v:stroke joinstyle="miter"/>
              <v:path gradientshapeok="t" o:connecttype="rect"/>
            </v:shapetype>
            <v:shape id="Text Box 2" o:spid="_x0000_s1026" type="#_x0000_t202" style="position:absolute;margin-left:0;margin-top:0;width:201.6pt;height:2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" filled="f" stroked="f">
              <v:textbox style="mso-fit-shape-to-text:t" inset="0,0,0,0">
                <w:txbxContent>
                  <w:p w14:paraId="6C338B86" w14:textId="77777777" w:rsidR="00E14438" w:rsidRDefault="00437F2F" w:rsidP="004B76C3">
                    <w:pPr/>
                    <w:r>
                      <w:t>4133-8087-3066</w:t>
                    </w:r>
                  </w:p>
                  <w:p w14:paraId="107C7EAE" w14:textId="77777777" w:rsidR="00E14438" w:rsidRDefault="00437F2F" w:rsidP="004B76C3">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4E80" w14:textId="06D6101B" w:rsidR="00E14438" w:rsidRDefault="00437F2F" w:rsidP="004B76C3">
    <w:pPr>
      <w:pStyle w:val="Footer"/>
    </w:pPr>
    <w:r>
      <w:rPr>
        <w:noProof/>
      </w:rPr>
      <mc:AlternateContent>
        <mc:Choice Requires="wps">
          <w:drawing>
            <wp:anchor distT="0" distB="0" distL="114300" distR="114300" simplePos="0" relativeHeight="251660288" behindDoc="0" locked="0" layoutInCell="1" allowOverlap="1" wp14:anchorId="669B3B01" wp14:editId="6846FFF4">
              <wp:simplePos x="0" y="0"/>
              <wp:positionH relativeFrom="margin">
                <wp:posOffset>0</wp:posOffset>
              </wp:positionH>
              <wp:positionV relativeFrom="paragraph">
                <wp:posOffset>0</wp:posOffset>
              </wp:positionV>
              <wp:extent cx="2560320" cy="254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97444" w14:textId="77777777" w:rsidR="00E14438" w:rsidRDefault="00437F2F" w:rsidP="004B76C3">
                          <w:pPr/>
                          <w:r>
                            <w:t>4133-8087-3066</w:t>
                          </w:r>
                        </w:p>
                        <w:p w14:paraId="520E05A1" w14:textId="77777777" w:rsidR="00E14438" w:rsidRDefault="00437F2F" w:rsidP="004B76C3">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9B3B01" id="_x0000_t202" coordsize="21600,21600" o:spt="202" path="m,l,21600r21600,l21600,xe">
              <v:stroke joinstyle="miter"/>
              <v:path gradientshapeok="t" o:connecttype="rect"/>
            </v:shapetype>
            <v:shape id="Text Box 1" o:spid="_x0000_s1027" type="#_x0000_t202" style="position:absolute;margin-left:0;margin-top:0;width:201.6pt;height:2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" filled="f" stroked="f">
              <v:textbox style="mso-fit-shape-to-text:t" inset="0,0,0,0">
                <w:txbxContent>
                  <w:p w14:paraId="18997444" w14:textId="77777777" w:rsidR="00E14438" w:rsidRDefault="00437F2F" w:rsidP="004B76C3">
                    <w:pPr/>
                    <w:r>
                      <w:t>4133-8087-3066</w:t>
                    </w:r>
                  </w:p>
                  <w:p w14:paraId="520E05A1" w14:textId="77777777" w:rsidR="00E14438" w:rsidRDefault="00437F2F" w:rsidP="004B76C3">
                    <w:pP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DEB5" w14:textId="77777777" w:rsidR="00292AE5" w:rsidRDefault="00437F2F">
    <w:pPr>
      <w:pStyle w:val="FooterCha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6995" w14:textId="77777777" w:rsidR="00292AE5" w:rsidRDefault="00437F2F">
    <w:pPr>
      <w:pStyle w:val="FooterChar"/>
      <w:rPr>
        <w:rFonts w:ascii="Courier New" w:hAnsi="Courier New"/>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2F"/>
    <w:rsid w:val="00437F2F"/>
    <w:rsid w:val="00BD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1629F"/>
  <w15:chartTrackingRefBased/>
  <w15:docId w15:val="{75DC64A8-74A7-4357-8478-42E56A71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37F2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437F2F"/>
    <w:rPr>
      <w:rFonts w:ascii="Times New Roman" w:eastAsia="Times New Roman" w:hAnsi="Times New Roman" w:cs="Times New Roman"/>
      <w:sz w:val="24"/>
      <w:szCs w:val="24"/>
    </w:rPr>
  </w:style>
  <w:style w:type="paragraph" w:styleId="Header">
    <w:name w:val="header"/>
    <w:basedOn w:val="Normal"/>
    <w:link w:val="HeaderChar"/>
    <w:rsid w:val="00437F2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37F2F"/>
    <w:rPr>
      <w:rFonts w:ascii="Times New Roman" w:eastAsia="Times New Roman" w:hAnsi="Times New Roman" w:cs="Times New Roman"/>
      <w:sz w:val="24"/>
      <w:szCs w:val="24"/>
    </w:rPr>
  </w:style>
  <w:style w:type="paragraph" w:customStyle="1" w:styleId="MacPacTrailer">
    <w:name w:val="MacPac Trailer"/>
    <w:rsid w:val="00437F2F"/>
    <w:pPr>
      <w:widowControl w:val="0"/>
      <w:spacing w:after="0" w:line="200" w:lineRule="exact"/>
    </w:pPr>
    <w:rPr>
      <w:rFonts w:ascii="Times New Roman" w:eastAsia="Times New Roman" w:hAnsi="Times New Roman"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1</cp:revision>
  <cp:lastPrinted>2026-07-23T17:32:00Z</cp:lastPrinted>
  <dcterms:created xsi:type="dcterms:W3CDTF">2026-07-23T17:30:00Z</dcterms:created>
  <dcterms:modified xsi:type="dcterms:W3CDTF">2026-07-23T17:36:00Z</dcterms:modified>
</cp:coreProperties>
</file>